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50" w:rsidRDefault="00190C50" w:rsidP="00190C50">
      <w:pPr>
        <w:jc w:val="center"/>
        <w:rPr>
          <w:rFonts w:ascii="Century Gothic" w:hAnsi="Century Gothic"/>
          <w:b/>
        </w:rPr>
      </w:pPr>
      <w:r w:rsidRPr="007C5369">
        <w:rPr>
          <w:rFonts w:ascii="Century Gothic" w:hAnsi="Century Gothic"/>
          <w:b/>
        </w:rPr>
        <w:t>Attachment A: EPA Watershed Plan Elements “a” through “</w:t>
      </w:r>
      <w:proofErr w:type="spellStart"/>
      <w:r w:rsidRPr="007C5369">
        <w:rPr>
          <w:rFonts w:ascii="Century Gothic" w:hAnsi="Century Gothic"/>
          <w:b/>
        </w:rPr>
        <w:t>i</w:t>
      </w:r>
      <w:proofErr w:type="spellEnd"/>
      <w:r w:rsidRPr="007C5369">
        <w:rPr>
          <w:rFonts w:ascii="Century Gothic" w:hAnsi="Century Gothic"/>
          <w:b/>
        </w:rPr>
        <w:t>”</w:t>
      </w:r>
    </w:p>
    <w:p w:rsidR="00ED1897" w:rsidRPr="007C5369" w:rsidRDefault="00ED1897" w:rsidP="00190C50">
      <w:pPr>
        <w:jc w:val="center"/>
        <w:rPr>
          <w:rFonts w:ascii="Century Gothic" w:hAnsi="Century Gothic"/>
          <w:b/>
        </w:rPr>
      </w:pPr>
      <w:r>
        <w:rPr>
          <w:rFonts w:ascii="Century Gothic" w:hAnsi="Century Gothic"/>
          <w:b/>
        </w:rPr>
        <w:t>For New Hampshire</w:t>
      </w:r>
      <w:bookmarkStart w:id="0" w:name="_GoBack"/>
      <w:bookmarkEnd w:id="0"/>
      <w:r>
        <w:rPr>
          <w:rFonts w:ascii="Century Gothic" w:hAnsi="Century Gothic"/>
          <w:b/>
        </w:rPr>
        <w:t xml:space="preserve"> Watershed-based Plans</w:t>
      </w:r>
    </w:p>
    <w:p w:rsidR="00190C50" w:rsidRPr="007C5369" w:rsidRDefault="00190C50" w:rsidP="00190C50">
      <w:pPr>
        <w:jc w:val="center"/>
        <w:rPr>
          <w:rFonts w:ascii="Century Gothic" w:hAnsi="Century Gothic"/>
        </w:rPr>
      </w:pPr>
    </w:p>
    <w:p w:rsidR="00190C50" w:rsidRPr="007C5369" w:rsidRDefault="00190C50" w:rsidP="00190C50">
      <w:pPr>
        <w:pStyle w:val="RFP1"/>
        <w:keepNext w:val="0"/>
        <w:tabs>
          <w:tab w:val="left" w:pos="360"/>
        </w:tabs>
        <w:spacing w:before="120" w:after="120"/>
        <w:ind w:left="360" w:hanging="360"/>
        <w:rPr>
          <w:rFonts w:cs="Arial"/>
          <w:b w:val="0"/>
          <w:i/>
          <w:sz w:val="20"/>
          <w:szCs w:val="20"/>
          <w:u w:val="none"/>
        </w:rPr>
      </w:pPr>
      <w:r w:rsidRPr="007C5369">
        <w:rPr>
          <w:rFonts w:cs="Arial"/>
          <w:b w:val="0"/>
          <w:i/>
          <w:sz w:val="20"/>
          <w:szCs w:val="20"/>
          <w:u w:val="none"/>
        </w:rPr>
        <w:t xml:space="preserve">a)   </w:t>
      </w:r>
      <w:r w:rsidRPr="007C5369">
        <w:rPr>
          <w:rFonts w:cs="Arial"/>
          <w:b w:val="0"/>
          <w:i/>
          <w:sz w:val="20"/>
          <w:szCs w:val="20"/>
        </w:rPr>
        <w:t>Identify pollution causes and sources</w:t>
      </w:r>
      <w:r w:rsidRPr="007C5369">
        <w:rPr>
          <w:rFonts w:cs="Arial"/>
          <w:b w:val="0"/>
          <w:i/>
          <w:sz w:val="20"/>
          <w:szCs w:val="20"/>
          <w:u w:val="none"/>
        </w:rPr>
        <w:t>:  An identification of the causes and sources or groups of similar sources that will need to be controlled to achieve the load reductions estimated in this watershed-based plan (and to achieve any other watershed goals identified in the watershed-based plan), as discussed in item (b) immediately below.  Sources that need to be controlled should be identified at the significant subcategory level with estimates of the extent to which they are present in the watershed (e.g., X number of storm drains that need retrofits; Y miles of gravel roads that need drainage BMPs; or Z linear miles of eroded streambank needing remediation).</w:t>
      </w:r>
    </w:p>
    <w:p w:rsidR="00190C50" w:rsidRPr="007C5369" w:rsidRDefault="00190C50" w:rsidP="00190C50">
      <w:pPr>
        <w:pStyle w:val="formdescription"/>
        <w:tabs>
          <w:tab w:val="left" w:pos="720"/>
        </w:tabs>
        <w:spacing w:before="120" w:after="120"/>
        <w:ind w:left="720" w:hanging="180"/>
        <w:rPr>
          <w:rFonts w:ascii="Century Gothic" w:hAnsi="Century Gothic" w:cs="Arial"/>
          <w:sz w:val="20"/>
          <w:szCs w:val="20"/>
        </w:rPr>
      </w:pPr>
    </w:p>
    <w:p w:rsidR="00190C50" w:rsidRPr="007C5369" w:rsidRDefault="00190C50" w:rsidP="00190C50">
      <w:pPr>
        <w:pStyle w:val="formdescription"/>
        <w:tabs>
          <w:tab w:val="left" w:pos="360"/>
        </w:tabs>
        <w:spacing w:before="120" w:after="120"/>
        <w:ind w:left="360" w:hanging="353"/>
        <w:rPr>
          <w:rFonts w:ascii="Century Gothic" w:hAnsi="Century Gothic" w:cs="Arial"/>
          <w:iCs/>
          <w:sz w:val="20"/>
          <w:szCs w:val="20"/>
          <w:u w:val="single"/>
        </w:rPr>
      </w:pPr>
      <w:r w:rsidRPr="007C5369">
        <w:rPr>
          <w:rFonts w:ascii="Century Gothic" w:hAnsi="Century Gothic" w:cs="Arial"/>
          <w:iCs/>
          <w:sz w:val="20"/>
          <w:szCs w:val="20"/>
        </w:rPr>
        <w:t xml:space="preserve">b) </w:t>
      </w:r>
      <w:r w:rsidRPr="007C5369">
        <w:rPr>
          <w:rFonts w:ascii="Century Gothic" w:hAnsi="Century Gothic" w:cs="Arial"/>
          <w:iCs/>
          <w:sz w:val="20"/>
          <w:szCs w:val="20"/>
        </w:rPr>
        <w:tab/>
      </w:r>
      <w:r w:rsidRPr="007C5369">
        <w:rPr>
          <w:rFonts w:ascii="Century Gothic" w:hAnsi="Century Gothic" w:cs="Arial"/>
          <w:iCs/>
          <w:sz w:val="20"/>
          <w:szCs w:val="20"/>
          <w:u w:val="single"/>
        </w:rPr>
        <w:t>Estimate pollution reductions needed</w:t>
      </w:r>
      <w:r w:rsidRPr="007C5369">
        <w:rPr>
          <w:rFonts w:ascii="Century Gothic" w:hAnsi="Century Gothic" w:cs="Arial"/>
          <w:iCs/>
          <w:sz w:val="20"/>
          <w:szCs w:val="20"/>
        </w:rPr>
        <w:t>:  An estimate of the load reductions expected for the management measures described under (c).  Estimates should be provided at the same level as in item (a) above (e.g., the total load reduction expected for storm drain retrofits, gravel road BMPs or eroded streambanks). First quantify the pollutant loads for the watershed.  Based on these pollutant loads, determine the reductions needed to meet water quality standards (or other goals).</w:t>
      </w:r>
    </w:p>
    <w:p w:rsidR="00190C50" w:rsidRPr="007C5369" w:rsidRDefault="00190C50" w:rsidP="00190C50">
      <w:pPr>
        <w:pStyle w:val="formdescription"/>
        <w:tabs>
          <w:tab w:val="left" w:pos="720"/>
        </w:tabs>
        <w:spacing w:before="120" w:after="120"/>
        <w:ind w:left="720" w:hanging="180"/>
        <w:rPr>
          <w:rFonts w:ascii="Century Gothic" w:hAnsi="Century Gothic" w:cs="Arial"/>
          <w:sz w:val="20"/>
          <w:szCs w:val="20"/>
        </w:rPr>
      </w:pPr>
    </w:p>
    <w:p w:rsidR="00190C50" w:rsidRPr="007C5369" w:rsidRDefault="00190C50" w:rsidP="00190C50">
      <w:pPr>
        <w:pStyle w:val="formdescription"/>
        <w:tabs>
          <w:tab w:val="left" w:pos="360"/>
        </w:tabs>
        <w:spacing w:before="120" w:after="120"/>
        <w:ind w:left="360" w:hanging="360"/>
        <w:rPr>
          <w:rFonts w:ascii="Century Gothic" w:hAnsi="Century Gothic" w:cs="Arial"/>
          <w:sz w:val="20"/>
          <w:szCs w:val="20"/>
        </w:rPr>
      </w:pPr>
      <w:r w:rsidRPr="007C5369">
        <w:rPr>
          <w:rFonts w:ascii="Century Gothic" w:hAnsi="Century Gothic" w:cs="Arial"/>
          <w:sz w:val="20"/>
          <w:szCs w:val="20"/>
        </w:rPr>
        <w:t xml:space="preserve">c) </w:t>
      </w:r>
      <w:r w:rsidRPr="007C5369">
        <w:rPr>
          <w:rFonts w:ascii="Century Gothic" w:hAnsi="Century Gothic" w:cs="Arial"/>
          <w:sz w:val="20"/>
          <w:szCs w:val="20"/>
        </w:rPr>
        <w:tab/>
      </w:r>
      <w:r w:rsidRPr="007C5369">
        <w:rPr>
          <w:rFonts w:ascii="Century Gothic" w:hAnsi="Century Gothic" w:cs="Arial"/>
          <w:sz w:val="20"/>
          <w:szCs w:val="20"/>
          <w:u w:val="single"/>
        </w:rPr>
        <w:t>Actions needed to reduce pollution</w:t>
      </w:r>
      <w:r w:rsidRPr="007C5369">
        <w:rPr>
          <w:rFonts w:ascii="Century Gothic" w:hAnsi="Century Gothic" w:cs="Arial"/>
          <w:sz w:val="20"/>
          <w:szCs w:val="20"/>
        </w:rPr>
        <w:t>: A description of the NPS management measures that will need to be implemented to achieve the load reduction or habitat restoration scope estimated under paragraph (b) above (as well as to achieve other watershed goals identified in this watershed-based plan), and an identification (using a map or a description) of the critical areas in which those measures will be needed to implement this plan.</w:t>
      </w:r>
    </w:p>
    <w:p w:rsidR="00190C50" w:rsidRPr="007C5369" w:rsidRDefault="00190C50" w:rsidP="00190C50">
      <w:pPr>
        <w:pStyle w:val="formdescription"/>
        <w:tabs>
          <w:tab w:val="left" w:pos="720"/>
        </w:tabs>
        <w:spacing w:before="120" w:after="120"/>
        <w:ind w:left="720" w:hanging="180"/>
        <w:rPr>
          <w:rFonts w:ascii="Century Gothic" w:hAnsi="Century Gothic" w:cs="Arial"/>
          <w:sz w:val="20"/>
          <w:szCs w:val="20"/>
        </w:rPr>
      </w:pPr>
    </w:p>
    <w:p w:rsidR="00190C50" w:rsidRPr="007C5369" w:rsidRDefault="00190C50" w:rsidP="00190C50">
      <w:pPr>
        <w:pStyle w:val="RFP1"/>
        <w:keepNext w:val="0"/>
        <w:tabs>
          <w:tab w:val="left" w:pos="360"/>
        </w:tabs>
        <w:spacing w:before="120" w:after="120"/>
        <w:ind w:left="360" w:hanging="360"/>
        <w:rPr>
          <w:rFonts w:cs="Arial"/>
          <w:b w:val="0"/>
          <w:i/>
          <w:sz w:val="20"/>
          <w:szCs w:val="20"/>
          <w:u w:val="none"/>
        </w:rPr>
      </w:pPr>
      <w:r w:rsidRPr="007C5369">
        <w:rPr>
          <w:rFonts w:cs="Arial"/>
          <w:b w:val="0"/>
          <w:i/>
          <w:sz w:val="20"/>
          <w:szCs w:val="20"/>
          <w:u w:val="none"/>
        </w:rPr>
        <w:t>d)</w:t>
      </w:r>
      <w:r w:rsidRPr="007C5369">
        <w:rPr>
          <w:rFonts w:cs="Arial"/>
          <w:b w:val="0"/>
          <w:i/>
          <w:sz w:val="20"/>
          <w:szCs w:val="20"/>
          <w:u w:val="none"/>
        </w:rPr>
        <w:tab/>
      </w:r>
      <w:r w:rsidRPr="007C5369">
        <w:rPr>
          <w:rFonts w:cs="Arial"/>
          <w:b w:val="0"/>
          <w:i/>
          <w:sz w:val="20"/>
          <w:szCs w:val="20"/>
        </w:rPr>
        <w:t>Costs and authority</w:t>
      </w:r>
      <w:r w:rsidRPr="007C5369">
        <w:rPr>
          <w:rFonts w:cs="Arial"/>
          <w:b w:val="0"/>
          <w:i/>
          <w:sz w:val="20"/>
          <w:szCs w:val="20"/>
          <w:u w:val="none"/>
        </w:rPr>
        <w:t xml:space="preserve">:  An estimate of the amounts of technical and financial assistance </w:t>
      </w:r>
      <w:proofErr w:type="gramStart"/>
      <w:r w:rsidRPr="007C5369">
        <w:rPr>
          <w:rFonts w:cs="Arial"/>
          <w:b w:val="0"/>
          <w:i/>
          <w:sz w:val="20"/>
          <w:szCs w:val="20"/>
          <w:u w:val="none"/>
        </w:rPr>
        <w:t>needed,</w:t>
      </w:r>
      <w:proofErr w:type="gramEnd"/>
      <w:r w:rsidRPr="007C5369">
        <w:rPr>
          <w:rFonts w:cs="Arial"/>
          <w:b w:val="0"/>
          <w:i/>
          <w:sz w:val="20"/>
          <w:szCs w:val="20"/>
          <w:u w:val="none"/>
        </w:rPr>
        <w:t xml:space="preserve"> associated costs, and/or the sources and authorities that will be relied upon, to implement this plan.  Describe the types and sources of match that will be used to implement the project, keeping in mind that at least 40% of the project cost must be provided in non-federal match.</w:t>
      </w:r>
    </w:p>
    <w:p w:rsidR="00190C50" w:rsidRPr="007C5369" w:rsidRDefault="00190C50" w:rsidP="00190C50">
      <w:pPr>
        <w:pStyle w:val="formdescription"/>
        <w:tabs>
          <w:tab w:val="left" w:pos="720"/>
        </w:tabs>
        <w:spacing w:before="120" w:after="120"/>
        <w:ind w:left="720" w:hanging="180"/>
        <w:rPr>
          <w:rFonts w:ascii="Century Gothic" w:hAnsi="Century Gothic" w:cs="Arial"/>
          <w:sz w:val="20"/>
          <w:szCs w:val="20"/>
        </w:rPr>
      </w:pPr>
    </w:p>
    <w:p w:rsidR="00190C50" w:rsidRPr="007C5369" w:rsidRDefault="00190C50" w:rsidP="00190C50">
      <w:pPr>
        <w:pStyle w:val="RFP1"/>
        <w:keepNext w:val="0"/>
        <w:tabs>
          <w:tab w:val="left" w:pos="360"/>
        </w:tabs>
        <w:spacing w:before="120" w:after="120"/>
        <w:ind w:left="360" w:hanging="360"/>
        <w:rPr>
          <w:rFonts w:cs="Arial"/>
          <w:b w:val="0"/>
          <w:i/>
          <w:sz w:val="20"/>
          <w:szCs w:val="20"/>
          <w:u w:val="none"/>
        </w:rPr>
      </w:pPr>
      <w:r w:rsidRPr="007C5369">
        <w:rPr>
          <w:rFonts w:cs="Arial"/>
          <w:b w:val="0"/>
          <w:i/>
          <w:sz w:val="20"/>
          <w:szCs w:val="20"/>
          <w:u w:val="none"/>
        </w:rPr>
        <w:t>e)</w:t>
      </w:r>
      <w:r w:rsidRPr="007C5369">
        <w:rPr>
          <w:rFonts w:cs="Arial"/>
          <w:b w:val="0"/>
          <w:i/>
          <w:sz w:val="20"/>
          <w:szCs w:val="20"/>
          <w:u w:val="none"/>
        </w:rPr>
        <w:tab/>
      </w:r>
      <w:r w:rsidRPr="007C5369">
        <w:rPr>
          <w:rFonts w:cs="Arial"/>
          <w:b w:val="0"/>
          <w:i/>
          <w:sz w:val="20"/>
          <w:szCs w:val="20"/>
        </w:rPr>
        <w:t>Outreach and education</w:t>
      </w:r>
      <w:r w:rsidRPr="007C5369">
        <w:rPr>
          <w:rFonts w:cs="Arial"/>
          <w:b w:val="0"/>
          <w:i/>
          <w:sz w:val="20"/>
          <w:szCs w:val="20"/>
          <w:u w:val="none"/>
        </w:rPr>
        <w:t>:  An information/education component that will be used to enhance public understanding of the project and encourage their early and continued participation in selecting, designing, and implementing NPS management measures.</w:t>
      </w:r>
    </w:p>
    <w:p w:rsidR="00190C50" w:rsidRPr="007C5369" w:rsidRDefault="00190C50" w:rsidP="00190C50">
      <w:pPr>
        <w:pStyle w:val="formdescription"/>
        <w:tabs>
          <w:tab w:val="left" w:pos="720"/>
        </w:tabs>
        <w:ind w:left="720" w:hanging="180"/>
        <w:rPr>
          <w:rFonts w:ascii="Century Gothic" w:hAnsi="Century Gothic" w:cs="Arial"/>
          <w:sz w:val="20"/>
          <w:szCs w:val="20"/>
        </w:rPr>
      </w:pPr>
    </w:p>
    <w:p w:rsidR="00190C50" w:rsidRPr="007C5369" w:rsidRDefault="00190C50" w:rsidP="00190C50">
      <w:pPr>
        <w:pStyle w:val="RFP1"/>
        <w:keepNext w:val="0"/>
        <w:tabs>
          <w:tab w:val="left" w:pos="360"/>
        </w:tabs>
        <w:spacing w:before="120" w:after="120"/>
        <w:ind w:left="360" w:hanging="360"/>
        <w:rPr>
          <w:rFonts w:cs="Arial"/>
          <w:b w:val="0"/>
          <w:i/>
          <w:sz w:val="20"/>
          <w:szCs w:val="20"/>
          <w:u w:val="none"/>
        </w:rPr>
      </w:pPr>
      <w:r w:rsidRPr="007C5369">
        <w:rPr>
          <w:rFonts w:cs="Arial"/>
          <w:b w:val="0"/>
          <w:i/>
          <w:sz w:val="20"/>
          <w:szCs w:val="20"/>
          <w:u w:val="none"/>
        </w:rPr>
        <w:t>f)</w:t>
      </w:r>
      <w:r w:rsidRPr="007C5369">
        <w:rPr>
          <w:rFonts w:cs="Arial"/>
          <w:b w:val="0"/>
          <w:i/>
          <w:sz w:val="20"/>
          <w:szCs w:val="20"/>
          <w:u w:val="none"/>
        </w:rPr>
        <w:tab/>
      </w:r>
      <w:r w:rsidRPr="007C5369">
        <w:rPr>
          <w:rFonts w:cs="Arial"/>
          <w:b w:val="0"/>
          <w:i/>
          <w:sz w:val="20"/>
          <w:szCs w:val="20"/>
        </w:rPr>
        <w:t>Schedule</w:t>
      </w:r>
      <w:r w:rsidRPr="007C5369">
        <w:rPr>
          <w:rFonts w:cs="Arial"/>
          <w:b w:val="0"/>
          <w:i/>
          <w:sz w:val="20"/>
          <w:szCs w:val="20"/>
          <w:u w:val="none"/>
        </w:rPr>
        <w:t>:  A schedule for implementing the NPS management measures identified in this plan that is reasonably expeditious.</w:t>
      </w:r>
    </w:p>
    <w:p w:rsidR="00190C50" w:rsidRPr="007C5369" w:rsidRDefault="00190C50" w:rsidP="00190C50">
      <w:pPr>
        <w:pStyle w:val="formdescription"/>
        <w:tabs>
          <w:tab w:val="left" w:pos="720"/>
        </w:tabs>
        <w:spacing w:before="120" w:after="120"/>
        <w:ind w:left="720" w:hanging="180"/>
        <w:rPr>
          <w:rFonts w:ascii="Century Gothic" w:hAnsi="Century Gothic" w:cs="Arial"/>
          <w:sz w:val="20"/>
          <w:szCs w:val="20"/>
        </w:rPr>
      </w:pPr>
    </w:p>
    <w:p w:rsidR="00190C50" w:rsidRPr="007C5369" w:rsidRDefault="00190C50" w:rsidP="00190C50">
      <w:pPr>
        <w:pStyle w:val="RFP1"/>
        <w:keepNext w:val="0"/>
        <w:tabs>
          <w:tab w:val="left" w:pos="360"/>
        </w:tabs>
        <w:spacing w:before="120" w:after="120"/>
        <w:ind w:left="360" w:hanging="360"/>
        <w:rPr>
          <w:rFonts w:cs="Arial"/>
          <w:b w:val="0"/>
          <w:i/>
          <w:sz w:val="20"/>
          <w:szCs w:val="20"/>
          <w:u w:val="none"/>
        </w:rPr>
      </w:pPr>
      <w:r w:rsidRPr="007C5369">
        <w:rPr>
          <w:rFonts w:cs="Arial"/>
          <w:b w:val="0"/>
          <w:i/>
          <w:sz w:val="20"/>
          <w:szCs w:val="20"/>
          <w:u w:val="none"/>
        </w:rPr>
        <w:t>g)</w:t>
      </w:r>
      <w:r w:rsidRPr="007C5369">
        <w:rPr>
          <w:rFonts w:cs="Arial"/>
          <w:b w:val="0"/>
          <w:i/>
          <w:sz w:val="20"/>
          <w:szCs w:val="20"/>
          <w:u w:val="none"/>
        </w:rPr>
        <w:tab/>
      </w:r>
      <w:r w:rsidRPr="007C5369">
        <w:rPr>
          <w:rFonts w:cs="Arial"/>
          <w:b w:val="0"/>
          <w:i/>
          <w:sz w:val="20"/>
          <w:szCs w:val="20"/>
        </w:rPr>
        <w:t>Milestones</w:t>
      </w:r>
      <w:r w:rsidRPr="007C5369">
        <w:rPr>
          <w:rFonts w:cs="Arial"/>
          <w:b w:val="0"/>
          <w:i/>
          <w:sz w:val="20"/>
          <w:szCs w:val="20"/>
          <w:u w:val="none"/>
        </w:rPr>
        <w:t>:  A description of interim, measurable milestones for determining whether NPS management measures or other control actions are being implemented.</w:t>
      </w:r>
    </w:p>
    <w:p w:rsidR="00190C50" w:rsidRPr="007C5369" w:rsidRDefault="00190C50" w:rsidP="00190C50">
      <w:pPr>
        <w:pStyle w:val="formdescription"/>
        <w:tabs>
          <w:tab w:val="left" w:pos="720"/>
        </w:tabs>
        <w:spacing w:before="120" w:after="120"/>
        <w:ind w:left="720" w:hanging="180"/>
        <w:rPr>
          <w:rFonts w:ascii="Century Gothic" w:hAnsi="Century Gothic" w:cs="Arial"/>
          <w:sz w:val="20"/>
          <w:szCs w:val="20"/>
        </w:rPr>
      </w:pPr>
    </w:p>
    <w:p w:rsidR="00190C50" w:rsidRPr="007C5369" w:rsidRDefault="00190C50" w:rsidP="00190C50">
      <w:pPr>
        <w:pStyle w:val="RFP1"/>
        <w:keepNext w:val="0"/>
        <w:tabs>
          <w:tab w:val="left" w:pos="360"/>
        </w:tabs>
        <w:spacing w:before="120" w:after="120"/>
        <w:ind w:left="360" w:hanging="360"/>
        <w:rPr>
          <w:rFonts w:cs="Arial"/>
          <w:b w:val="0"/>
          <w:i/>
          <w:sz w:val="20"/>
          <w:szCs w:val="20"/>
          <w:u w:val="none"/>
        </w:rPr>
      </w:pPr>
      <w:r w:rsidRPr="007C5369">
        <w:rPr>
          <w:rFonts w:cs="Arial"/>
          <w:b w:val="0"/>
          <w:i/>
          <w:sz w:val="20"/>
          <w:szCs w:val="20"/>
          <w:u w:val="none"/>
        </w:rPr>
        <w:t>h)</w:t>
      </w:r>
      <w:r w:rsidRPr="007C5369">
        <w:rPr>
          <w:rFonts w:cs="Arial"/>
          <w:b w:val="0"/>
          <w:i/>
          <w:sz w:val="20"/>
          <w:szCs w:val="20"/>
          <w:u w:val="none"/>
        </w:rPr>
        <w:tab/>
      </w:r>
      <w:r w:rsidRPr="007C5369">
        <w:rPr>
          <w:rFonts w:cs="Arial"/>
          <w:b w:val="0"/>
          <w:i/>
          <w:sz w:val="20"/>
          <w:szCs w:val="20"/>
        </w:rPr>
        <w:t>Success indicators and evaluation</w:t>
      </w:r>
      <w:r w:rsidRPr="007C5369">
        <w:rPr>
          <w:rFonts w:cs="Arial"/>
          <w:b w:val="0"/>
          <w:i/>
          <w:sz w:val="20"/>
          <w:szCs w:val="20"/>
          <w:u w:val="none"/>
        </w:rPr>
        <w:t>:  A set of criteria that can be used to determine whether loading reductions or habitat restoration is being achieved over time and substantial progress is being made towards attaining water quality standards and, if not, the criteria for determining whether this watershed-based plan needs to be revised.</w:t>
      </w:r>
    </w:p>
    <w:p w:rsidR="00190C50" w:rsidRPr="007C5369" w:rsidRDefault="00190C50" w:rsidP="00190C50">
      <w:pPr>
        <w:pStyle w:val="formdescription"/>
        <w:tabs>
          <w:tab w:val="left" w:pos="720"/>
        </w:tabs>
        <w:spacing w:before="120" w:after="120"/>
        <w:ind w:left="734" w:hanging="187"/>
        <w:rPr>
          <w:rFonts w:ascii="Century Gothic" w:hAnsi="Century Gothic" w:cs="Arial"/>
          <w:sz w:val="20"/>
          <w:szCs w:val="20"/>
        </w:rPr>
      </w:pPr>
    </w:p>
    <w:p w:rsidR="00465088" w:rsidRPr="00190C50" w:rsidRDefault="00190C50" w:rsidP="00190C50">
      <w:pPr>
        <w:pStyle w:val="RFP1"/>
        <w:keepNext w:val="0"/>
        <w:numPr>
          <w:ilvl w:val="0"/>
          <w:numId w:val="1"/>
        </w:numPr>
        <w:tabs>
          <w:tab w:val="clear" w:pos="1267"/>
          <w:tab w:val="left" w:pos="360"/>
        </w:tabs>
        <w:spacing w:before="120" w:after="120"/>
        <w:ind w:left="360" w:hanging="360"/>
        <w:rPr>
          <w:rFonts w:cs="Arial"/>
          <w:b w:val="0"/>
          <w:i/>
          <w:sz w:val="20"/>
          <w:szCs w:val="20"/>
          <w:u w:val="none"/>
        </w:rPr>
      </w:pPr>
      <w:r w:rsidRPr="007C5369">
        <w:rPr>
          <w:rFonts w:cs="Arial"/>
          <w:b w:val="0"/>
          <w:i/>
          <w:sz w:val="20"/>
          <w:szCs w:val="20"/>
        </w:rPr>
        <w:t>Monitoring plan</w:t>
      </w:r>
      <w:r w:rsidRPr="007C5369">
        <w:rPr>
          <w:rFonts w:cs="Arial"/>
          <w:b w:val="0"/>
          <w:i/>
          <w:sz w:val="20"/>
          <w:szCs w:val="20"/>
          <w:u w:val="none"/>
        </w:rPr>
        <w:t>:  A monitoring component to evaluate the effectiveness of the implementation efforts over time, measured against the criteria established under item (h) immediately above.</w:t>
      </w:r>
    </w:p>
    <w:sectPr w:rsidR="00465088" w:rsidRPr="00190C50" w:rsidSect="00190C50">
      <w:pgSz w:w="12240" w:h="15840" w:code="1"/>
      <w:pgMar w:top="1008" w:right="1080" w:bottom="1440" w:left="108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533A"/>
    <w:multiLevelType w:val="hybridMultilevel"/>
    <w:tmpl w:val="0F5A2CEE"/>
    <w:lvl w:ilvl="0" w:tplc="39D65062">
      <w:start w:val="1"/>
      <w:numFmt w:val="lowerRoman"/>
      <w:lvlText w:val="%1)"/>
      <w:lvlJc w:val="left"/>
      <w:pPr>
        <w:tabs>
          <w:tab w:val="num" w:pos="1267"/>
        </w:tabs>
        <w:ind w:left="1267" w:hanging="72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50"/>
    <w:rsid w:val="00190C50"/>
    <w:rsid w:val="00832FB5"/>
    <w:rsid w:val="00ED1897"/>
    <w:rsid w:val="00EE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1">
    <w:name w:val="RFP 1"/>
    <w:basedOn w:val="Normal"/>
    <w:rsid w:val="00190C50"/>
    <w:pPr>
      <w:keepNext/>
      <w:spacing w:before="360" w:after="240"/>
    </w:pPr>
    <w:rPr>
      <w:rFonts w:ascii="Century Gothic" w:eastAsia="Batang" w:hAnsi="Century Gothic"/>
      <w:b/>
      <w:bCs/>
      <w:sz w:val="28"/>
      <w:szCs w:val="28"/>
      <w:u w:val="single"/>
    </w:rPr>
  </w:style>
  <w:style w:type="paragraph" w:customStyle="1" w:styleId="formdescription">
    <w:name w:val="form description"/>
    <w:basedOn w:val="Normal"/>
    <w:rsid w:val="00190C50"/>
    <w:pPr>
      <w:spacing w:after="240"/>
    </w:pPr>
    <w:rPr>
      <w:rFonts w:ascii="Arial" w:hAnsi="Arial"/>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1">
    <w:name w:val="RFP 1"/>
    <w:basedOn w:val="Normal"/>
    <w:rsid w:val="00190C50"/>
    <w:pPr>
      <w:keepNext/>
      <w:spacing w:before="360" w:after="240"/>
    </w:pPr>
    <w:rPr>
      <w:rFonts w:ascii="Century Gothic" w:eastAsia="Batang" w:hAnsi="Century Gothic"/>
      <w:b/>
      <w:bCs/>
      <w:sz w:val="28"/>
      <w:szCs w:val="28"/>
      <w:u w:val="single"/>
    </w:rPr>
  </w:style>
  <w:style w:type="paragraph" w:customStyle="1" w:styleId="formdescription">
    <w:name w:val="form description"/>
    <w:basedOn w:val="Normal"/>
    <w:rsid w:val="00190C50"/>
    <w:pPr>
      <w:spacing w:after="240"/>
    </w:pPr>
    <w:rPr>
      <w:rFonts w:ascii="Arial" w:hAnsi="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McMillan, Barbara</dc:creator>
  <cp:lastModifiedBy>McMillan, Barbara</cp:lastModifiedBy>
  <cp:revision>2</cp:revision>
  <dcterms:created xsi:type="dcterms:W3CDTF">2018-05-15T19:33:00Z</dcterms:created>
  <dcterms:modified xsi:type="dcterms:W3CDTF">2018-05-21T18:57:00Z</dcterms:modified>
</cp:coreProperties>
</file>